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Arial" w:cs="Arial" w:eastAsia="Arial" w:hAnsi="Arial"/>
          <w:sz w:val="36"/>
          <w:szCs w:val="36"/>
        </w:rPr>
      </w:pPr>
      <w:r w:rsidDel="00000000" w:rsidR="00000000" w:rsidRPr="00000000">
        <w:rPr>
          <w:rFonts w:ascii="Arial" w:cs="Arial" w:eastAsia="Arial" w:hAnsi="Arial"/>
          <w:b w:val="1"/>
          <w:sz w:val="36"/>
          <w:szCs w:val="36"/>
          <w:rtl w:val="0"/>
        </w:rPr>
        <w:t xml:space="preserve">Order Schedule 19 (Scottish Law)</w:t>
      </w:r>
      <w:r w:rsidDel="00000000" w:rsidR="00000000" w:rsidRPr="00000000">
        <w:rPr>
          <w:rFonts w:ascii="Arial" w:cs="Arial" w:eastAsia="Arial" w:hAnsi="Arial"/>
          <w:sz w:val="36"/>
          <w:szCs w:val="36"/>
          <w:rtl w:val="0"/>
        </w:rPr>
        <w:t xml:space="preserve"> </w:t>
      </w:r>
    </w:p>
    <w:p w:rsidR="00000000" w:rsidDel="00000000" w:rsidP="00000000" w:rsidRDefault="00000000" w:rsidRPr="00000000" w14:paraId="00000002">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When you should use this Schedule</w:t>
      </w:r>
    </w:p>
    <w:p w:rsidR="00000000" w:rsidDel="00000000" w:rsidP="00000000" w:rsidRDefault="00000000" w:rsidRPr="00000000" w14:paraId="00000003">
      <w:pPr>
        <w:keepNext w:val="1"/>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Order Schedule 19 may be included to adapt the Core Terms and Schedules so that the Order Contract is under Scottish Law.</w:t>
      </w:r>
    </w:p>
    <w:p w:rsidR="00000000" w:rsidDel="00000000" w:rsidP="00000000" w:rsidRDefault="00000000" w:rsidRPr="00000000" w14:paraId="00000004">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Changes to the Core Terms</w:t>
      </w:r>
    </w:p>
    <w:p w:rsidR="00000000" w:rsidDel="00000000" w:rsidP="00000000" w:rsidRDefault="00000000" w:rsidRPr="00000000" w14:paraId="00000005">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19, (Other people’s rights in this contract) – “Contract Rights of Third Parties Act (CRTPA)” shall be replaced by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Contract (Third Party Rights) (Scotland) Act 2017 (CTPRSA)</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References to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CRTPA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replaced by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CTPRSA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06">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34 (Resolving Disputes):</w:t>
      </w:r>
    </w:p>
    <w:p w:rsidR="00000000" w:rsidDel="00000000" w:rsidP="00000000" w:rsidRDefault="00000000" w:rsidRPr="00000000" w14:paraId="00000007">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34.2 – add the following wording: “The governing law and jurisdiction provisions of CEDR’s Model Mediation Agreement shall be deemed to be amended to refer to the laws of Scotland and the Court of Session.”</w:t>
      </w:r>
    </w:p>
    <w:p w:rsidR="00000000" w:rsidDel="00000000" w:rsidP="00000000" w:rsidRDefault="00000000" w:rsidRPr="00000000" w14:paraId="00000008">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34.3  The term “Courts of England and Wales” shall be amended to read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“Court of Session” </w:t>
      </w:r>
      <w:r w:rsidDel="00000000" w:rsidR="00000000" w:rsidRPr="00000000">
        <w:rPr>
          <w:rtl w:val="0"/>
        </w:rPr>
      </w:r>
    </w:p>
    <w:p w:rsidR="00000000" w:rsidDel="00000000" w:rsidP="00000000" w:rsidRDefault="00000000" w:rsidRPr="00000000" w14:paraId="00000009">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34.4 – Conduct of Arbitration. </w:t>
      </w:r>
    </w:p>
    <w:p w:rsidR="00000000" w:rsidDel="00000000" w:rsidP="00000000" w:rsidRDefault="00000000" w:rsidRPr="00000000" w14:paraId="0000000A">
      <w:pPr>
        <w:keepNext w:val="0"/>
        <w:keepLines w:val="0"/>
        <w:widowControl w:val="1"/>
        <w:numPr>
          <w:ilvl w:val="3"/>
          <w:numId w:val="1"/>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words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under the London Court of International Arbitration rules current at the time of the Dispute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deleted.</w:t>
      </w:r>
    </w:p>
    <w:p w:rsidR="00000000" w:rsidDel="00000000" w:rsidP="00000000" w:rsidRDefault="00000000" w:rsidRPr="00000000" w14:paraId="0000000B">
      <w:pPr>
        <w:keepNext w:val="0"/>
        <w:keepLines w:val="0"/>
        <w:widowControl w:val="1"/>
        <w:numPr>
          <w:ilvl w:val="3"/>
          <w:numId w:val="1"/>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seat or legal place of the arbitration shall be amended so that it takes place in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Edinburgh</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as opposed to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London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0C">
      <w:pPr>
        <w:keepNext w:val="0"/>
        <w:keepLines w:val="0"/>
        <w:widowControl w:val="1"/>
        <w:numPr>
          <w:ilvl w:val="3"/>
          <w:numId w:val="1"/>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Add the following wording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The arbitration shall be conducted in accordance with the Arbitration (Scotland) Act 2010 subject to disapplication in whole or in part of any of the default rules of the Scottish Arbitration Rules comprising Schedule 1 to that Act as the Parties may agree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0D">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35 (Which Laws apply) – the words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English Law</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replaced by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the Law of Scotland</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0E">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Changes to the Joint Schedules</w:t>
      </w:r>
    </w:p>
    <w:p w:rsidR="00000000" w:rsidDel="00000000" w:rsidP="00000000" w:rsidRDefault="00000000" w:rsidRPr="00000000" w14:paraId="0000000F">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Joint Schedule 1 – Definitions shall be amended as follows:</w:t>
      </w:r>
    </w:p>
    <w:p w:rsidR="00000000" w:rsidDel="00000000" w:rsidP="00000000" w:rsidRDefault="00000000" w:rsidRPr="00000000" w14:paraId="00000010">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definition of “CRTPA” shall be replaced by “”CTPRSA” the Contract (Third Party Rights) (Scotland) Act 2017”.</w:t>
      </w:r>
    </w:p>
    <w:p w:rsidR="00000000" w:rsidDel="00000000" w:rsidP="00000000" w:rsidRDefault="00000000" w:rsidRPr="00000000" w14:paraId="00000011">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definition of “Dispute” the reference to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English law</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replaced by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the Law of Scotland</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 the reference to the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English courts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replaced by the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courts of Scotland</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12">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definition of “Insolvency Event” – the word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“Assignment”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replaced by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“Assignation”.</w:t>
      </w:r>
      <w:r w:rsidDel="00000000" w:rsidR="00000000" w:rsidRPr="00000000">
        <w:rPr>
          <w:rtl w:val="0"/>
        </w:rPr>
      </w:r>
    </w:p>
    <w:p w:rsidR="00000000" w:rsidDel="00000000" w:rsidP="00000000" w:rsidRDefault="00000000" w:rsidRPr="00000000" w14:paraId="00000013">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definition of “Losses” the</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word</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“tort”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replaced with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“delict”.</w:t>
      </w:r>
      <w:r w:rsidDel="00000000" w:rsidR="00000000" w:rsidRPr="00000000">
        <w:rPr>
          <w:rtl w:val="0"/>
        </w:rPr>
      </w:r>
    </w:p>
    <w:p w:rsidR="00000000" w:rsidDel="00000000" w:rsidP="00000000" w:rsidRDefault="00000000" w:rsidRPr="00000000" w14:paraId="00000014">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part (a) of the definition of “Intellectual Property Rights</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words</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“Know-How”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and</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“trade secrets”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refer to pre-existing know-how and trade secrets only</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15">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“Working Day”: reference to “England and Wales” replaced by “Scotland”</w:t>
      </w:r>
    </w:p>
    <w:p w:rsidR="00000000" w:rsidDel="00000000" w:rsidP="00000000" w:rsidRDefault="00000000" w:rsidRPr="00000000" w14:paraId="00000016">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 Guarantee is selected, the following provisions of Joint Schedule 8 – Guarantee shall be amended as follows: </w:t>
      </w:r>
    </w:p>
    <w:p w:rsidR="00000000" w:rsidDel="00000000" w:rsidP="00000000" w:rsidRDefault="00000000" w:rsidRPr="00000000" w14:paraId="00000017">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Annex 1 – Form of Guarantee WHEREAS (B) “deed” replaced by “contract”</w:t>
      </w:r>
    </w:p>
    <w:p w:rsidR="00000000" w:rsidDel="00000000" w:rsidP="00000000" w:rsidRDefault="00000000" w:rsidRPr="00000000" w14:paraId="00000018">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Throughout the whole Schedule delete all references to “deed of Guarantee” merely express as “Guarantee” </w:t>
      </w:r>
    </w:p>
    <w:p w:rsidR="00000000" w:rsidDel="00000000" w:rsidP="00000000" w:rsidRDefault="00000000" w:rsidRPr="00000000" w14:paraId="00000019">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4.1 Delete references to “England and Wales” when referring to addresses.</w:t>
      </w:r>
    </w:p>
    <w:p w:rsidR="00000000" w:rsidDel="00000000" w:rsidP="00000000" w:rsidRDefault="00000000" w:rsidRPr="00000000" w14:paraId="0000001A">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12 – the word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assignment”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be amended to “assignation”.</w:t>
      </w:r>
    </w:p>
    <w:p w:rsidR="00000000" w:rsidDel="00000000" w:rsidP="00000000" w:rsidRDefault="00000000" w:rsidRPr="00000000" w14:paraId="0000001B">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14 –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Contract (Rights of Third Parties) Act 1999</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amended to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Contract (Third Party Rights) (Scotland) Act 2017</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1C">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16 Governing Law (add “and Jurisdiction”). References to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“Courts of England”</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to be replaced by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“Court of Session”.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References to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“English”</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to be replaced by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“Scottish”</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References to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England and Wales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to be replaced by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Scotland</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1D">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Alter execution strip to read as follows:</w:t>
      </w:r>
    </w:p>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tabs>
          <w:tab w:val="left" w:pos="142"/>
        </w:tabs>
        <w:spacing w:after="120" w:before="240" w:line="240" w:lineRule="auto"/>
        <w:ind w:left="2160" w:right="0" w:hanging="720"/>
        <w:jc w:val="left"/>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“IN WITNESS WHEREOF these presents consisting of this page and the [ ] preceding pages are executed in duplicate as follows:</w:t>
      </w:r>
    </w:p>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tabs>
          <w:tab w:val="left" w:pos="142"/>
        </w:tabs>
        <w:spacing w:after="120" w:before="240" w:line="240" w:lineRule="auto"/>
        <w:ind w:left="2880" w:right="0" w:hanging="720"/>
        <w:jc w:val="left"/>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SIGNATURE:</w:t>
      </w:r>
    </w:p>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tabs>
          <w:tab w:val="left" w:pos="142"/>
        </w:tabs>
        <w:spacing w:after="120" w:before="240" w:line="240" w:lineRule="auto"/>
        <w:ind w:left="2880" w:right="0" w:hanging="720"/>
        <w:jc w:val="left"/>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Name: </w:t>
      </w:r>
    </w:p>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tabs>
          <w:tab w:val="left" w:pos="142"/>
        </w:tabs>
        <w:spacing w:after="120" w:before="240" w:line="240" w:lineRule="auto"/>
        <w:ind w:left="2880" w:right="0" w:hanging="720"/>
        <w:jc w:val="left"/>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Position:</w:t>
      </w:r>
    </w:p>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tabs>
          <w:tab w:val="left" w:pos="142"/>
        </w:tabs>
        <w:spacing w:after="120" w:before="240" w:line="240" w:lineRule="auto"/>
        <w:ind w:left="2880" w:right="0" w:hanging="720"/>
        <w:jc w:val="left"/>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Place of signing:</w:t>
      </w:r>
    </w:p>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tabs>
          <w:tab w:val="left" w:pos="142"/>
        </w:tabs>
        <w:spacing w:after="120" w:before="240" w:line="240" w:lineRule="auto"/>
        <w:ind w:left="2880" w:right="0" w:hanging="720"/>
        <w:jc w:val="left"/>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Date:</w:t>
      </w:r>
    </w:p>
    <w:p w:rsidR="00000000" w:rsidDel="00000000" w:rsidP="00000000" w:rsidRDefault="00000000" w:rsidRPr="00000000" w14:paraId="00000024">
      <w:pPr>
        <w:keepNext w:val="0"/>
        <w:keepLines w:val="0"/>
        <w:widowControl w:val="1"/>
        <w:pBdr>
          <w:top w:space="0" w:sz="0" w:val="nil"/>
          <w:left w:space="0" w:sz="0" w:val="nil"/>
          <w:bottom w:space="0" w:sz="0" w:val="nil"/>
          <w:right w:space="0" w:sz="0" w:val="nil"/>
          <w:between w:space="0" w:sz="0" w:val="nil"/>
        </w:pBdr>
        <w:shd w:fill="auto" w:val="clear"/>
        <w:tabs>
          <w:tab w:val="left" w:pos="142"/>
        </w:tabs>
        <w:spacing w:after="120" w:before="240" w:line="240" w:lineRule="auto"/>
        <w:ind w:left="2880" w:right="0" w:hanging="720"/>
        <w:jc w:val="left"/>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Witness:</w:t>
      </w:r>
    </w:p>
    <w:p w:rsidR="00000000" w:rsidDel="00000000" w:rsidP="00000000" w:rsidRDefault="00000000" w:rsidRPr="00000000" w14:paraId="00000025">
      <w:pPr>
        <w:keepNext w:val="0"/>
        <w:keepLines w:val="0"/>
        <w:widowControl w:val="1"/>
        <w:pBdr>
          <w:top w:space="0" w:sz="0" w:val="nil"/>
          <w:left w:space="0" w:sz="0" w:val="nil"/>
          <w:bottom w:space="0" w:sz="0" w:val="nil"/>
          <w:right w:space="0" w:sz="0" w:val="nil"/>
          <w:between w:space="0" w:sz="0" w:val="nil"/>
        </w:pBdr>
        <w:shd w:fill="auto" w:val="clear"/>
        <w:tabs>
          <w:tab w:val="left" w:pos="142"/>
        </w:tabs>
        <w:spacing w:after="120" w:before="240" w:line="240" w:lineRule="auto"/>
        <w:ind w:left="2880" w:right="0" w:hanging="720"/>
        <w:jc w:val="left"/>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Witness name:</w:t>
      </w:r>
    </w:p>
    <w:p w:rsidR="00000000" w:rsidDel="00000000" w:rsidP="00000000" w:rsidRDefault="00000000" w:rsidRPr="00000000" w14:paraId="00000026">
      <w:pPr>
        <w:keepNext w:val="0"/>
        <w:keepLines w:val="0"/>
        <w:widowControl w:val="1"/>
        <w:pBdr>
          <w:top w:space="0" w:sz="0" w:val="nil"/>
          <w:left w:space="0" w:sz="0" w:val="nil"/>
          <w:bottom w:space="0" w:sz="0" w:val="nil"/>
          <w:right w:space="0" w:sz="0" w:val="nil"/>
          <w:between w:space="0" w:sz="0" w:val="nil"/>
        </w:pBdr>
        <w:shd w:fill="auto" w:val="clear"/>
        <w:tabs>
          <w:tab w:val="left" w:pos="142"/>
        </w:tabs>
        <w:spacing w:after="120" w:before="240" w:line="240" w:lineRule="auto"/>
        <w:ind w:left="2880" w:right="0" w:hanging="720"/>
        <w:jc w:val="left"/>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Witness address:”</w:t>
      </w:r>
    </w:p>
    <w:p w:rsidR="00000000" w:rsidDel="00000000" w:rsidP="00000000" w:rsidRDefault="00000000" w:rsidRPr="00000000" w14:paraId="00000027">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8">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Changes to Order Schedules</w:t>
      </w:r>
    </w:p>
    <w:p w:rsidR="00000000" w:rsidDel="00000000" w:rsidP="00000000" w:rsidRDefault="00000000" w:rsidRPr="00000000" w14:paraId="00000029">
      <w:pPr>
        <w:rPr/>
      </w:pPr>
      <w:r w:rsidDel="00000000" w:rsidR="00000000" w:rsidRPr="00000000">
        <w:rPr>
          <w:rtl w:val="0"/>
        </w:rPr>
      </w:r>
    </w:p>
    <w:p w:rsidR="00000000" w:rsidDel="00000000" w:rsidP="00000000" w:rsidRDefault="00000000" w:rsidRPr="00000000" w14:paraId="0000002A">
      <w:pP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rtl w:val="0"/>
        </w:rPr>
        <w:t xml:space="preserve">: Insert any amendments to the Order schedules where Scottish Law applies]</w:t>
      </w:r>
    </w:p>
    <w:p w:rsidR="00000000" w:rsidDel="00000000" w:rsidP="00000000" w:rsidRDefault="00000000" w:rsidRPr="00000000" w14:paraId="0000002B">
      <w:pPr>
        <w:rPr>
          <w:smallCaps w:val="1"/>
        </w:rPr>
      </w:pPr>
      <w:r w:rsidDel="00000000" w:rsidR="00000000" w:rsidRPr="00000000">
        <w:rPr>
          <w:rtl w:val="0"/>
        </w:rPr>
      </w:r>
    </w:p>
    <w:p w:rsidR="00000000" w:rsidDel="00000000" w:rsidP="00000000" w:rsidRDefault="00000000" w:rsidRPr="00000000" w14:paraId="0000002C">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References to Legislation</w:t>
      </w:r>
    </w:p>
    <w:p w:rsidR="00000000" w:rsidDel="00000000" w:rsidP="00000000" w:rsidRDefault="00000000" w:rsidRPr="00000000" w14:paraId="0000002D">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576"/>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legislation applicable to England and Wales only is expressly mentioned in this Order Contract it shall have the effect of substituting the equivalent legislation applicable in Scotland. </w:t>
      </w:r>
    </w:p>
    <w:p w:rsidR="00000000" w:rsidDel="00000000" w:rsidP="00000000" w:rsidRDefault="00000000" w:rsidRPr="00000000" w14:paraId="0000002E">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sectPr>
      <w:headerReference r:id="rId7" w:type="default"/>
      <w:footerReference r:id="rId8" w:type="default"/>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3">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DPS Ref: RM6120 Leasing and Loans Finance DPS</w:t>
    </w:r>
  </w:p>
  <w:p w:rsidR="00000000" w:rsidDel="00000000" w:rsidP="00000000" w:rsidRDefault="00000000" w:rsidRPr="00000000" w14:paraId="00000034">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Project Version: v1.0</w:t>
      <w:tab/>
      <w:tab/>
      <w:t xml:space="preserve"> </w:t>
    </w:r>
  </w:p>
  <w:p w:rsidR="00000000" w:rsidDel="00000000" w:rsidP="00000000" w:rsidRDefault="00000000" w:rsidRPr="00000000" w14:paraId="00000035">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v1.1</w:t>
    </w:r>
    <w:r w:rsidDel="00000000" w:rsidR="00000000" w:rsidRPr="00000000">
      <w:rPr>
        <w:rtl w:val="0"/>
      </w:rPr>
    </w:r>
  </w:p>
  <w:p w:rsidR="00000000" w:rsidDel="00000000" w:rsidP="00000000" w:rsidRDefault="00000000" w:rsidRPr="00000000" w14:paraId="00000036">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7">
    <w:pPr>
      <w:tabs>
        <w:tab w:val="center" w:pos="4513"/>
        <w:tab w:val="right" w:pos="9026"/>
      </w:tabs>
      <w:spacing w:after="0" w:lineRule="auto"/>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F">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Order Schedule 19 (Scottish Law)</w:t>
    </w:r>
  </w:p>
  <w:p w:rsidR="00000000" w:rsidDel="00000000" w:rsidP="00000000" w:rsidRDefault="00000000" w:rsidRPr="00000000" w14:paraId="00000030">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Order Ref:</w:t>
    </w:r>
  </w:p>
  <w:p w:rsidR="00000000" w:rsidDel="00000000" w:rsidP="00000000" w:rsidRDefault="00000000" w:rsidRPr="00000000" w14:paraId="00000031">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2021</w:t>
    </w:r>
  </w:p>
  <w:p w:rsidR="00000000" w:rsidDel="00000000" w:rsidP="00000000" w:rsidRDefault="00000000" w:rsidRPr="00000000" w14:paraId="00000032">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rFonts w:ascii="Arial" w:cs="Arial" w:eastAsia="Arial" w:hAnsi="Arial"/>
        <w:b w:val="1"/>
        <w:i w:val="0"/>
        <w:smallCaps w:val="0"/>
        <w:strike w:val="0"/>
        <w:color w:val="000000"/>
        <w:sz w:val="20"/>
        <w:szCs w:val="20"/>
        <w:u w:val="none"/>
        <w:vertAlign w:val="baseline"/>
      </w:rPr>
    </w:lvl>
    <w:lvl w:ilvl="1">
      <w:start w:val="1"/>
      <w:numFmt w:val="decimal"/>
      <w:lvlText w:val="%1.%2"/>
      <w:lvlJc w:val="left"/>
      <w:pPr>
        <w:ind w:left="1440" w:hanging="720"/>
      </w:pPr>
      <w:rPr>
        <w:rFonts w:ascii="Calibri" w:cs="Calibri" w:eastAsia="Calibri" w:hAnsi="Calibri"/>
        <w:b w:val="0"/>
        <w:i w:val="0"/>
        <w:smallCaps w:val="0"/>
        <w:strike w:val="0"/>
        <w:color w:val="000000"/>
        <w:sz w:val="22"/>
        <w:szCs w:val="22"/>
        <w:u w:val="none"/>
        <w:vertAlign w:val="baseline"/>
      </w:rPr>
    </w:lvl>
    <w:lvl w:ilvl="2">
      <w:start w:val="1"/>
      <w:numFmt w:val="decimal"/>
      <w:lvlText w:val="%1.%2.%3"/>
      <w:lvlJc w:val="left"/>
      <w:pPr>
        <w:ind w:left="1996"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880"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Pr>
      <w:rFonts w:ascii="Calibri" w:cs="Times New Roman" w:eastAsia="Calibri" w:hAnsi="Calibri"/>
    </w:rPr>
  </w:style>
  <w:style w:type="paragraph" w:styleId="Heading1">
    <w:name w:val="heading 1"/>
    <w:basedOn w:val="Normal"/>
    <w:next w:val="Normal"/>
    <w:link w:val="Heading1Char"/>
    <w:uiPriority w:val="9"/>
    <w:qFormat w:val="1"/>
    <w:pPr>
      <w:keepNext w:val="1"/>
      <w:keepLines w:val="1"/>
      <w:spacing w:after="0" w:before="480"/>
      <w:outlineLvl w:val="0"/>
    </w:pPr>
    <w:rPr>
      <w:rFonts w:asciiTheme="majorHAnsi" w:cstheme="majorBidi" w:eastAsiaTheme="majorEastAsia" w:hAnsiTheme="majorHAnsi"/>
      <w:b w:val="1"/>
      <w:bCs w:val="1"/>
      <w:color w:val="365f91" w:themeColor="accent1" w:themeShade="0000BF"/>
      <w:sz w:val="28"/>
      <w:szCs w:val="28"/>
    </w:rPr>
  </w:style>
  <w:style w:type="paragraph" w:styleId="Heading2">
    <w:name w:val="heading 2"/>
    <w:basedOn w:val="Normal"/>
    <w:next w:val="Normal"/>
    <w:link w:val="Heading2Char"/>
    <w:uiPriority w:val="9"/>
    <w:unhideWhenUsed w:val="1"/>
    <w:qFormat w:val="1"/>
    <w:pPr>
      <w:keepNext w:val="1"/>
      <w:keepLines w:val="1"/>
      <w:spacing w:after="0" w:before="200"/>
      <w:outlineLvl w:val="1"/>
    </w:pPr>
    <w:rPr>
      <w:rFonts w:asciiTheme="majorHAnsi" w:cstheme="majorBidi" w:eastAsiaTheme="majorEastAsia" w:hAnsiTheme="majorHAnsi"/>
      <w:b w:val="1"/>
      <w:bCs w:val="1"/>
      <w:color w:val="4f81bd" w:themeColor="accent1"/>
      <w:sz w:val="26"/>
      <w:szCs w:val="26"/>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link w:val="GPSL1CLAUSEHEADINGChar"/>
    <w:qFormat w:val="1"/>
    <w:pPr>
      <w:numPr>
        <w:numId w:val="1"/>
      </w:numPr>
      <w:tabs>
        <w:tab w:val="left" w:pos="142"/>
      </w:tabs>
      <w:adjustRightInd w:val="0"/>
      <w:spacing w:after="120" w:before="240" w:line="240" w:lineRule="auto"/>
      <w:jc w:val="both"/>
      <w:outlineLvl w:val="1"/>
    </w:pPr>
    <w:rPr>
      <w:rFonts w:cs="Arial" w:eastAsia="STZhongsong"/>
      <w:b w:val="1"/>
      <w:caps w:val="1"/>
      <w:lang w:eastAsia="zh-CN"/>
    </w:rPr>
  </w:style>
  <w:style w:type="paragraph" w:styleId="GPSL3numberedclause" w:customStyle="1">
    <w:name w:val="GPS L3 numbered clause"/>
    <w:basedOn w:val="Normal"/>
    <w:link w:val="GPSL3numberedclauseChar"/>
    <w:qFormat w:val="1"/>
    <w:pPr>
      <w:numPr>
        <w:ilvl w:val="2"/>
        <w:numId w:val="1"/>
      </w:numPr>
      <w:adjustRightInd w:val="0"/>
      <w:spacing w:after="120" w:before="120" w:line="240" w:lineRule="auto"/>
      <w:jc w:val="both"/>
    </w:pPr>
    <w:rPr>
      <w:rFonts w:cs="Arial" w:eastAsia="Times New Roman"/>
      <w:lang w:eastAsia="zh-CN"/>
    </w:rPr>
  </w:style>
  <w:style w:type="paragraph" w:styleId="GPSL4numberedclause" w:customStyle="1">
    <w:name w:val="GPS L4 numbered clause"/>
    <w:basedOn w:val="GPSL3numberedclause"/>
    <w:link w:val="GPSL4numberedclauseChar"/>
    <w:qFormat w:val="1"/>
    <w:pPr>
      <w:numPr>
        <w:ilvl w:val="3"/>
      </w:numPr>
      <w:ind w:left="2592" w:hanging="936"/>
    </w:pPr>
  </w:style>
  <w:style w:type="paragraph" w:styleId="GPSL5numberedclause" w:customStyle="1">
    <w:name w:val="GPS L5 numbered clause"/>
    <w:basedOn w:val="GPSL4numberedclause"/>
    <w:link w:val="GPSL5numberedclauseChar"/>
    <w:qFormat w:val="1"/>
    <w:pPr>
      <w:numPr>
        <w:ilvl w:val="4"/>
      </w:numPr>
    </w:pPr>
  </w:style>
  <w:style w:type="paragraph" w:styleId="GPSL2NumberedBoldHeading" w:customStyle="1">
    <w:name w:val="GPS L2 Numbered Bold Heading"/>
    <w:basedOn w:val="Normal"/>
    <w:qFormat w:val="1"/>
    <w:pPr>
      <w:numPr>
        <w:ilvl w:val="1"/>
        <w:numId w:val="1"/>
      </w:numPr>
      <w:adjustRightInd w:val="0"/>
      <w:spacing w:after="120" w:before="120" w:line="240" w:lineRule="auto"/>
      <w:ind w:left="936" w:hanging="576"/>
      <w:jc w:val="both"/>
    </w:pPr>
    <w:rPr>
      <w:rFonts w:cs="Arial" w:eastAsia="Times New Roman"/>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2numberedclause" w:customStyle="1">
    <w:name w:val="GPS L2 numbered clause"/>
    <w:basedOn w:val="Normal"/>
    <w:link w:val="GPSL2numberedclauseChar1"/>
    <w:qFormat w:val="1"/>
    <w:pPr>
      <w:tabs>
        <w:tab w:val="left" w:pos="1134"/>
      </w:tabs>
      <w:adjustRightInd w:val="0"/>
      <w:spacing w:after="120" w:before="120" w:line="240" w:lineRule="auto"/>
      <w:ind w:left="1134" w:hanging="567"/>
      <w:jc w:val="both"/>
    </w:pPr>
    <w:rPr>
      <w:rFonts w:cs="Arial" w:eastAsia="Times New Roman"/>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paragraph" w:styleId="BalloonText">
    <w:name w:val="Balloon Text"/>
    <w:basedOn w:val="Normal"/>
    <w:link w:val="BalloonTextChar"/>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rPr>
      <w:rFonts w:ascii="Tahoma" w:cs="Tahoma" w:eastAsia="Calibri" w:hAnsi="Tahoma"/>
      <w:sz w:val="16"/>
      <w:szCs w:val="16"/>
    </w:r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ascii="Arial" w:cs="Arial" w:eastAsia="Times New Roman" w:hAnsi="Arial"/>
      <w:color w:val="ffffff"/>
      <w:sz w:val="16"/>
      <w:szCs w:val="16"/>
    </w:rPr>
  </w:style>
  <w:style w:type="character" w:styleId="GPSL1CLAUSEHEADINGChar" w:customStyle="1">
    <w:name w:val="GPS L1 CLAUSE HEADING Char"/>
    <w:link w:val="GPSL1CLAUSEHEADING"/>
    <w:rPr>
      <w:rFonts w:ascii="Calibri" w:cs="Arial" w:eastAsia="STZhongsong" w:hAnsi="Calibri"/>
      <w:b w:val="1"/>
      <w:caps w:val="1"/>
      <w:lang w:eastAsia="zh-CN"/>
    </w:rPr>
  </w:style>
  <w:style w:type="paragraph" w:styleId="GPSSchTitleandNumber" w:customStyle="1">
    <w:name w:val="GPS Sch Title and Number"/>
    <w:basedOn w:val="Normal"/>
    <w:link w:val="GPSSchTitleandNumberChar"/>
    <w:qFormat w:val="1"/>
    <w:pPr>
      <w:keepNext w:val="1"/>
      <w:adjustRightInd w:val="0"/>
      <w:spacing w:after="240" w:line="240" w:lineRule="auto"/>
      <w:jc w:val="center"/>
      <w:outlineLvl w:val="0"/>
    </w:pPr>
    <w:rPr>
      <w:rFonts w:ascii="Arial Bold"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Definition" w:customStyle="1">
    <w:name w:val="GPs Definition"/>
    <w:basedOn w:val="Normal"/>
    <w:qFormat w:val="1"/>
    <w:pPr>
      <w:numPr>
        <w:numId w:val="2"/>
      </w:numPr>
      <w:tabs>
        <w:tab w:val="left" w:pos="-9"/>
      </w:tabs>
      <w:overflowPunct w:val="0"/>
      <w:autoSpaceDE w:val="0"/>
      <w:autoSpaceDN w:val="0"/>
      <w:adjustRightInd w:val="0"/>
      <w:spacing w:after="120" w:line="240" w:lineRule="auto"/>
      <w:jc w:val="both"/>
      <w:textAlignment w:val="baseline"/>
    </w:pPr>
    <w:rPr>
      <w:rFonts w:ascii="Arial" w:cs="Arial" w:eastAsia="Times New Roman" w:hAnsi="Arial"/>
    </w:rPr>
  </w:style>
  <w:style w:type="paragraph" w:styleId="GPSDefinitionL2" w:customStyle="1">
    <w:name w:val="GPS Definition L2"/>
    <w:basedOn w:val="GPsDefinition"/>
    <w:qFormat w:val="1"/>
    <w:pPr>
      <w:numPr>
        <w:ilvl w:val="1"/>
      </w:numPr>
      <w:tabs>
        <w:tab w:val="clear" w:pos="-9"/>
        <w:tab w:val="left" w:pos="144"/>
      </w:tabs>
      <w:ind w:hanging="545"/>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SchAnnexname" w:customStyle="1">
    <w:name w:val="GPS Sch Annex name"/>
    <w:basedOn w:val="GPSSchTitleandNumber"/>
    <w:link w:val="GPSSchAnnexnameChar"/>
    <w:qFormat w:val="1"/>
    <w:pPr>
      <w:outlineLvl w:val="1"/>
    </w:pPr>
    <w:rPr>
      <w:rFonts w:ascii="Calibri" w:hAnsi="Calibri"/>
      <w:sz w:val="20"/>
    </w:rPr>
  </w:style>
  <w:style w:type="paragraph" w:styleId="GPSL1SCHEDULEHeading" w:customStyle="1">
    <w:name w:val="GPS L1 SCHEDULE Heading"/>
    <w:basedOn w:val="GPSL1CLAUSEHEADING"/>
    <w:link w:val="GPSL1SCHEDULEHeadingChar"/>
    <w:qFormat w:val="1"/>
    <w:pPr>
      <w:numPr>
        <w:numId w:val="0"/>
      </w:numPr>
      <w:tabs>
        <w:tab w:val="clear" w:pos="142"/>
        <w:tab w:val="left" w:pos="0"/>
      </w:tabs>
      <w:ind w:left="360" w:hanging="360"/>
      <w:outlineLvl w:val="9"/>
    </w:pPr>
  </w:style>
  <w:style w:type="character" w:styleId="GPSSchAnnexnameChar" w:customStyle="1">
    <w:name w:val="GPS Sch Annex name Char"/>
    <w:link w:val="GPSSchAnnexname"/>
    <w:rPr>
      <w:rFonts w:ascii="Calibri" w:cs="Times New Roman" w:eastAsia="STZhongsong" w:hAnsi="Calibri"/>
      <w:b w:val="1"/>
      <w:caps w:val="1"/>
      <w:sz w:val="20"/>
      <w:lang w:eastAsia="zh-CN"/>
    </w:rPr>
  </w:style>
  <w:style w:type="paragraph" w:styleId="GPSSchPart" w:customStyle="1">
    <w:name w:val="GPS Sch Part"/>
    <w:basedOn w:val="GPSSchAnnexname"/>
    <w:link w:val="GPSSchPartChar"/>
    <w:qFormat w:val="1"/>
    <w:pPr>
      <w:outlineLvl w:val="9"/>
    </w:p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character" w:styleId="GPSSchPartChar" w:customStyle="1">
    <w:name w:val="GPS Sch Part Char"/>
    <w:link w:val="GPSSchPart"/>
    <w:rPr>
      <w:rFonts w:ascii="Calibri" w:cs="Times New Roman" w:eastAsia="STZhongsong" w:hAnsi="Calibri"/>
      <w:b w:val="1"/>
      <w:caps w:val="1"/>
      <w:sz w:val="20"/>
      <w:lang w:eastAsia="zh-CN"/>
    </w:rPr>
  </w:style>
  <w:style w:type="paragraph" w:styleId="BodyTextIndent">
    <w:name w:val="Body Text Indent"/>
    <w:basedOn w:val="Normal"/>
    <w:link w:val="BodyTextIndentChar"/>
    <w:pPr>
      <w:numPr>
        <w:numId w:val="5"/>
      </w:numPr>
      <w:adjustRightInd w:val="0"/>
      <w:spacing w:after="240" w:line="240" w:lineRule="auto"/>
      <w:jc w:val="both"/>
    </w:pPr>
    <w:rPr>
      <w:rFonts w:eastAsia="Times New Roman"/>
      <w:lang w:eastAsia="zh-CN"/>
    </w:rPr>
  </w:style>
  <w:style w:type="character" w:styleId="BodyTextIndentChar" w:customStyle="1">
    <w:name w:val="Body Text Indent Char"/>
    <w:basedOn w:val="DefaultParagraphFont"/>
    <w:link w:val="BodyTextIndent"/>
    <w:rPr>
      <w:rFonts w:ascii="Calibri" w:cs="Times New Roman" w:eastAsia="Times New Roman" w:hAnsi="Calibri"/>
      <w:lang w:eastAsia="zh-CN"/>
    </w:rPr>
  </w:style>
  <w:style w:type="character" w:styleId="GPSL5numberedclauseChar" w:customStyle="1">
    <w:name w:val="GPS L5 numbered clause Char"/>
    <w:link w:val="GPSL5numberedclause"/>
    <w:locked w:val="1"/>
    <w:rPr>
      <w:rFonts w:ascii="Calibri" w:cs="Arial" w:eastAsia="Times New Roman" w:hAnsi="Calibri"/>
      <w:lang w:eastAsia="zh-CN"/>
    </w:rPr>
  </w:style>
  <w:style w:type="paragraph" w:styleId="GPSL2Indent" w:customStyle="1">
    <w:name w:val="GPS L2 Indent"/>
    <w:basedOn w:val="Normal"/>
    <w:link w:val="GPSL2IndentChar"/>
    <w:qFormat w:val="1"/>
    <w:pPr>
      <w:tabs>
        <w:tab w:val="left" w:pos="3402"/>
      </w:tabs>
      <w:overflowPunct w:val="0"/>
      <w:autoSpaceDE w:val="0"/>
      <w:autoSpaceDN w:val="0"/>
      <w:adjustRightInd w:val="0"/>
      <w:spacing w:after="220" w:line="240" w:lineRule="auto"/>
      <w:ind w:left="1134"/>
      <w:jc w:val="both"/>
      <w:textAlignment w:val="baseline"/>
    </w:pPr>
    <w:rPr>
      <w:rFonts w:cs="Arial" w:eastAsia="Times New Roman"/>
      <w:szCs w:val="24"/>
    </w:rPr>
  </w:style>
  <w:style w:type="character" w:styleId="GPSL2IndentChar" w:customStyle="1">
    <w:name w:val="GPS L2 Indent Char"/>
    <w:link w:val="GPSL2Indent"/>
    <w:rPr>
      <w:rFonts w:ascii="Calibri" w:cs="Arial" w:eastAsia="Times New Roman" w:hAnsi="Calibri"/>
      <w:szCs w:val="24"/>
    </w:rPr>
  </w:style>
  <w:style w:type="paragraph" w:styleId="GPSDefinitionTerm" w:customStyle="1">
    <w:name w:val="GPS Definition Term"/>
    <w:basedOn w:val="Normal"/>
    <w:qFormat w:val="1"/>
    <w:pPr>
      <w:overflowPunct w:val="0"/>
      <w:autoSpaceDE w:val="0"/>
      <w:autoSpaceDN w:val="0"/>
      <w:adjustRightInd w:val="0"/>
      <w:spacing w:after="120" w:line="240" w:lineRule="auto"/>
      <w:ind w:left="-108"/>
      <w:textAlignment w:val="baseline"/>
    </w:pPr>
    <w:rPr>
      <w:rFonts w:ascii="Arial" w:cs="Arial" w:eastAsia="Times New Roman" w:hAnsi="Arial"/>
      <w:b w:val="1"/>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FootnoteText">
    <w:name w:val="footnote text"/>
    <w:basedOn w:val="Normal"/>
    <w:link w:val="FootnoteTextChar"/>
    <w:uiPriority w:val="99"/>
    <w:semiHidden w:val="1"/>
    <w:unhideWhenUsed w:val="1"/>
    <w:pPr>
      <w:spacing w:after="0" w:line="240" w:lineRule="auto"/>
    </w:pPr>
    <w:rPr>
      <w:sz w:val="20"/>
      <w:szCs w:val="20"/>
    </w:rPr>
  </w:style>
  <w:style w:type="character" w:styleId="FootnoteTextChar" w:customStyle="1">
    <w:name w:val="Footnote Text Char"/>
    <w:basedOn w:val="DefaultParagraphFont"/>
    <w:link w:val="FootnoteText"/>
    <w:uiPriority w:val="99"/>
    <w:semiHidden w:val="1"/>
    <w:rPr>
      <w:rFonts w:ascii="Calibri" w:cs="Times New Roman" w:eastAsia="Calibri" w:hAnsi="Calibri"/>
      <w:sz w:val="20"/>
      <w:szCs w:val="20"/>
    </w:rPr>
  </w:style>
  <w:style w:type="character" w:styleId="FootnoteReference">
    <w:name w:val="footnote reference"/>
    <w:basedOn w:val="DefaultParagraphFont"/>
    <w:uiPriority w:val="99"/>
    <w:semiHidden w:val="1"/>
    <w:unhideWhenUsed w:val="1"/>
    <w:rPr>
      <w:vertAlign w:val="superscript"/>
    </w:rPr>
  </w:style>
  <w:style w:type="character" w:styleId="Heading1Char" w:customStyle="1">
    <w:name w:val="Heading 1 Char"/>
    <w:basedOn w:val="DefaultParagraphFont"/>
    <w:link w:val="Heading1"/>
    <w:uiPriority w:val="9"/>
    <w:rPr>
      <w:rFonts w:asciiTheme="majorHAnsi" w:cstheme="majorBidi" w:eastAsiaTheme="majorEastAsia" w:hAnsiTheme="majorHAnsi"/>
      <w:b w:val="1"/>
      <w:bCs w:val="1"/>
      <w:color w:val="365f91" w:themeColor="accent1" w:themeShade="0000BF"/>
      <w:sz w:val="28"/>
      <w:szCs w:val="28"/>
    </w:rPr>
  </w:style>
  <w:style w:type="character" w:styleId="Heading2Char" w:customStyle="1">
    <w:name w:val="Heading 2 Char"/>
    <w:basedOn w:val="DefaultParagraphFont"/>
    <w:link w:val="Heading2"/>
    <w:uiPriority w:val="9"/>
    <w:rPr>
      <w:rFonts w:asciiTheme="majorHAnsi" w:cstheme="majorBidi" w:eastAsiaTheme="majorEastAsia" w:hAnsiTheme="majorHAnsi"/>
      <w:b w:val="1"/>
      <w:bCs w:val="1"/>
      <w:color w:val="4f81bd" w:themeColor="accent1"/>
      <w:sz w:val="26"/>
      <w:szCs w:val="26"/>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Vd0rfCqM5xEehWSLJcu8MLjLqQ==">AMUW2mXFqp4fvr6mSjuKQvhnhO6ljaF2xnpceBE+p2BZrgfR+9uMZaJcV/sXG90+T52D7d3UYmngKu4IlUDPbgil/8L+E/rPAgJNOvwdzvhC42TeHwdh6SKghAO3CTgCVm3EctBtUz8N</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2020-11-20T14:13:00Z</dcterms:created>
  <dc:creator>Christopher Stanley</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ies>
</file>